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8178A" w14:textId="77777777" w:rsidR="001B062D" w:rsidRPr="00775EB7" w:rsidRDefault="001B062D" w:rsidP="001B062D">
      <w:pPr>
        <w:jc w:val="center"/>
        <w:rPr>
          <w:rFonts w:ascii="Garamond" w:hAnsi="Garamond"/>
          <w:b/>
          <w:sz w:val="22"/>
          <w:szCs w:val="22"/>
        </w:rPr>
      </w:pPr>
      <w:r w:rsidRPr="00775EB7">
        <w:rPr>
          <w:rFonts w:ascii="Garamond" w:hAnsi="Garamond"/>
          <w:b/>
          <w:sz w:val="22"/>
          <w:szCs w:val="22"/>
        </w:rPr>
        <w:t>Tantárgyi program</w:t>
      </w:r>
    </w:p>
    <w:p w14:paraId="0A5BE406" w14:textId="77777777" w:rsidR="001B062D" w:rsidRPr="00775EB7" w:rsidRDefault="001B062D" w:rsidP="001B062D">
      <w:pPr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5039"/>
      </w:tblGrid>
      <w:tr w:rsidR="001B062D" w:rsidRPr="00775EB7" w14:paraId="40B2954E" w14:textId="77777777" w:rsidTr="00B95B5F">
        <w:tc>
          <w:tcPr>
            <w:tcW w:w="4017" w:type="dxa"/>
            <w:vMerge w:val="restart"/>
          </w:tcPr>
          <w:p w14:paraId="02477A53" w14:textId="17442572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 neve: 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Pénzügyi jogi szakszeminárium II</w:t>
            </w:r>
            <w:r w:rsidR="0046120B">
              <w:rPr>
                <w:rFonts w:ascii="Garamond" w:hAnsi="Garamond"/>
                <w:b/>
                <w:sz w:val="22"/>
                <w:szCs w:val="22"/>
              </w:rPr>
              <w:t>I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.</w:t>
            </w:r>
          </w:p>
        </w:tc>
        <w:tc>
          <w:tcPr>
            <w:tcW w:w="5039" w:type="dxa"/>
          </w:tcPr>
          <w:p w14:paraId="0B2C61DA" w14:textId="1F29879C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Neptun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kódja: </w:t>
            </w:r>
            <w:r w:rsidR="0046120B" w:rsidRPr="00775EB7">
              <w:rPr>
                <w:rFonts w:ascii="Garamond" w:hAnsi="Garamond"/>
                <w:sz w:val="22"/>
                <w:szCs w:val="22"/>
              </w:rPr>
              <w:t>DFDIÁJ218N3, DFDIÁJ218L3</w:t>
            </w:r>
          </w:p>
        </w:tc>
      </w:tr>
      <w:tr w:rsidR="001B062D" w:rsidRPr="00775EB7" w14:paraId="1A5D1FF9" w14:textId="77777777" w:rsidTr="00B95B5F">
        <w:tc>
          <w:tcPr>
            <w:tcW w:w="4017" w:type="dxa"/>
            <w:vMerge/>
          </w:tcPr>
          <w:p w14:paraId="1E16A925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039" w:type="dxa"/>
          </w:tcPr>
          <w:p w14:paraId="6663B67F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Tantárgy jellege: kötelezően választandó</w:t>
            </w:r>
          </w:p>
        </w:tc>
      </w:tr>
      <w:tr w:rsidR="001B062D" w:rsidRPr="00775EB7" w14:paraId="7ECDB979" w14:textId="77777777" w:rsidTr="00B95B5F">
        <w:tc>
          <w:tcPr>
            <w:tcW w:w="9056" w:type="dxa"/>
            <w:gridSpan w:val="2"/>
          </w:tcPr>
          <w:p w14:paraId="01A05446" w14:textId="16444353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Tantárgyfelelős neve, beosztása: Dr. </w:t>
            </w:r>
            <w:r w:rsidR="00041047">
              <w:rPr>
                <w:rFonts w:ascii="Garamond" w:hAnsi="Garamond"/>
                <w:sz w:val="22"/>
                <w:szCs w:val="22"/>
              </w:rPr>
              <w:t>Varga Zoltán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egyetemi docens</w:t>
            </w:r>
            <w:r w:rsidR="00041047">
              <w:rPr>
                <w:rFonts w:ascii="Garamond" w:hAnsi="Garamond"/>
                <w:sz w:val="22"/>
                <w:szCs w:val="22"/>
              </w:rPr>
              <w:t>, tudományos és nemzetközi dékánhelyettes</w:t>
            </w:r>
          </w:p>
        </w:tc>
      </w:tr>
      <w:tr w:rsidR="001B062D" w:rsidRPr="00775EB7" w14:paraId="0BC625FA" w14:textId="77777777" w:rsidTr="00B95B5F">
        <w:tc>
          <w:tcPr>
            <w:tcW w:w="9056" w:type="dxa"/>
            <w:gridSpan w:val="2"/>
          </w:tcPr>
          <w:p w14:paraId="35515211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Oktatásba bevont oktatók neve, beosztása:</w:t>
            </w:r>
          </w:p>
        </w:tc>
      </w:tr>
      <w:tr w:rsidR="001B062D" w:rsidRPr="00775EB7" w14:paraId="6FE95081" w14:textId="77777777" w:rsidTr="00B95B5F">
        <w:tc>
          <w:tcPr>
            <w:tcW w:w="4017" w:type="dxa"/>
          </w:tcPr>
          <w:p w14:paraId="4BABAC74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Félév: </w:t>
            </w:r>
            <w:r w:rsidRPr="0046120B">
              <w:rPr>
                <w:rFonts w:ascii="Garamond" w:hAnsi="Garamond"/>
                <w:sz w:val="22"/>
                <w:szCs w:val="22"/>
                <w:u w:val="single"/>
              </w:rPr>
              <w:t>páratlan</w:t>
            </w:r>
            <w:r w:rsidRPr="00775EB7">
              <w:rPr>
                <w:rFonts w:ascii="Garamond" w:hAnsi="Garamond"/>
                <w:sz w:val="22"/>
                <w:szCs w:val="22"/>
              </w:rPr>
              <w:t>/</w:t>
            </w:r>
            <w:r w:rsidRPr="0046120B">
              <w:rPr>
                <w:rFonts w:ascii="Garamond" w:hAnsi="Garamond"/>
                <w:sz w:val="22"/>
                <w:szCs w:val="22"/>
              </w:rPr>
              <w:t>páros</w:t>
            </w:r>
          </w:p>
        </w:tc>
        <w:tc>
          <w:tcPr>
            <w:tcW w:w="5039" w:type="dxa"/>
          </w:tcPr>
          <w:p w14:paraId="1403C6AB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Óraszám/félév: 15</w:t>
            </w:r>
          </w:p>
        </w:tc>
      </w:tr>
      <w:tr w:rsidR="001B062D" w:rsidRPr="00775EB7" w14:paraId="0E6B43D0" w14:textId="77777777" w:rsidTr="00B95B5F">
        <w:tc>
          <w:tcPr>
            <w:tcW w:w="4017" w:type="dxa"/>
          </w:tcPr>
          <w:p w14:paraId="64C26284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Kreditérték: 3</w:t>
            </w:r>
          </w:p>
        </w:tc>
        <w:tc>
          <w:tcPr>
            <w:tcW w:w="5039" w:type="dxa"/>
          </w:tcPr>
          <w:p w14:paraId="104A5353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Számonkérés: kollokvium</w:t>
            </w:r>
          </w:p>
        </w:tc>
      </w:tr>
      <w:tr w:rsidR="001B062D" w:rsidRPr="00775EB7" w14:paraId="5F955F70" w14:textId="77777777" w:rsidTr="00B95B5F">
        <w:tc>
          <w:tcPr>
            <w:tcW w:w="9056" w:type="dxa"/>
            <w:gridSpan w:val="2"/>
          </w:tcPr>
          <w:p w14:paraId="44153FEE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 feladata, célja:</w:t>
            </w:r>
          </w:p>
          <w:p w14:paraId="7E425E3B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5325F64B" w14:textId="77777777" w:rsidR="001B062D" w:rsidRPr="00775EB7" w:rsidRDefault="001B062D" w:rsidP="00DE5211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 félévben az oktatás célja a pénzügyek jogának tudományos megalapozása című doktori programra jelentkező résztvevőket részletesen megismertetni az adott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jogág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egy-egy speciális területével, 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jogág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kialakulási és fejlődési tendenciával. A képzésben résztvevő doktorjelölt kutatáselméleti ismereteinek megalapozása, elmélyítése, elvi segítségadás a disszertáció összeállításához. E félévben az oktatás az adójog területét fogja át, elsősorban a nemzetközi adózás, európai adójog, adóharmonizáció témáinak feldolgozásával. Ezen belül elsősorban az adott jogterület lehetséges tartalmi változásait és átalakulási folyamatait tekintjük át.</w:t>
            </w:r>
          </w:p>
          <w:p w14:paraId="726674A2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B062D" w:rsidRPr="00775EB7" w14:paraId="0F4D4EFF" w14:textId="77777777" w:rsidTr="00B95B5F">
        <w:tc>
          <w:tcPr>
            <w:tcW w:w="9056" w:type="dxa"/>
            <w:gridSpan w:val="2"/>
          </w:tcPr>
          <w:p w14:paraId="007B3DCF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Tantárgyi tematika (heti bontásban):</w:t>
            </w:r>
          </w:p>
          <w:p w14:paraId="12FED3D1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5510B372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 Az adójog fejlődési tendenciái: a nemzetközi adózás alapjai. Alapelvek, kapcsoló elvek, jogági elhatárolás.</w:t>
            </w:r>
          </w:p>
          <w:p w14:paraId="7CC0FC6E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kettős adóztatási egyezmények főbb általános rendelkezései. Az egyezmények alkalmazási célja – az adókikerülés problémája, az egyezmények kettős adóztatást elkerülő módszerei.</w:t>
            </w:r>
          </w:p>
          <w:p w14:paraId="12A11295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OECD Modellegyezménye a jövedelmek és tőke adóztatása tárgyában.</w:t>
            </w:r>
          </w:p>
          <w:p w14:paraId="4852931A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mentesítés és beszámítás vizsgálata az egyes kettős adóztatási egyezményekben</w:t>
            </w:r>
          </w:p>
          <w:p w14:paraId="22E23665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Egy adott kettős adóztatás elkerülése tárgyában kötött nemzetközi egyezmény vizsgálata, elemzése</w:t>
            </w:r>
          </w:p>
          <w:p w14:paraId="5B4D9463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adójog fejlődési tendenciái: a nemzetközi adópolitika, az Európai Unió adójogában alkalmazott tendenciák</w:t>
            </w:r>
          </w:p>
          <w:p w14:paraId="4A426FAF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 A káros adóverseny és a külföldi befektetések adóztatásának elvei</w:t>
            </w:r>
          </w:p>
          <w:p w14:paraId="71C35E9E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külföldiekre vonatkozó belső adójogi szabályok és az Európai Unió szabályozása. Összehasonlító jogi elemzése</w:t>
            </w:r>
          </w:p>
          <w:p w14:paraId="6F11CFA1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Európai adójog: a jogharmonizáció jogforrásai, jogharmonizáció menete, kötelezettségek és eredmények.</w:t>
            </w:r>
          </w:p>
          <w:p w14:paraId="195733A0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közvetett adók és egyenes adók rendszere, jogforrásai az EU jogában.</w:t>
            </w:r>
          </w:p>
          <w:p w14:paraId="41643666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adóharmonizáció magyar eredményei</w:t>
            </w:r>
          </w:p>
          <w:p w14:paraId="3C87C684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általános forgalmi adó harmonizációja</w:t>
            </w:r>
          </w:p>
          <w:p w14:paraId="3FD7792A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társasági adó harmonizációja</w:t>
            </w:r>
          </w:p>
          <w:p w14:paraId="48501779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jövedéki adó harmonizációja</w:t>
            </w:r>
          </w:p>
          <w:p w14:paraId="43A16748" w14:textId="77777777" w:rsidR="001B062D" w:rsidRPr="00775EB7" w:rsidRDefault="001B062D" w:rsidP="001B062D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Az Európai Unió Bíróságának adójogi eseti döntései </w:t>
            </w:r>
          </w:p>
          <w:p w14:paraId="22040555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B062D" w:rsidRPr="00775EB7" w14:paraId="78009F47" w14:textId="77777777" w:rsidTr="00B95B5F">
        <w:tc>
          <w:tcPr>
            <w:tcW w:w="9056" w:type="dxa"/>
            <w:gridSpan w:val="2"/>
          </w:tcPr>
          <w:p w14:paraId="23DC3A32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 xml:space="preserve">Számonkérés módja: </w:t>
            </w:r>
            <w:r w:rsidRPr="00775EB7">
              <w:rPr>
                <w:rFonts w:ascii="Garamond" w:hAnsi="Garamond"/>
                <w:sz w:val="22"/>
                <w:szCs w:val="22"/>
              </w:rPr>
              <w:t>írásbeli és szóbeli</w:t>
            </w:r>
          </w:p>
          <w:p w14:paraId="52B1546C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1B062D" w:rsidRPr="00775EB7" w14:paraId="164AA704" w14:textId="77777777" w:rsidTr="00B95B5F">
        <w:tc>
          <w:tcPr>
            <w:tcW w:w="9056" w:type="dxa"/>
            <w:gridSpan w:val="2"/>
          </w:tcPr>
          <w:p w14:paraId="4AEB6426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Kötelező irodalom:</w:t>
            </w:r>
          </w:p>
          <w:p w14:paraId="436DDB4C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6882D61D" w14:textId="77777777" w:rsidR="001B062D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:</w:t>
            </w:r>
          </w:p>
          <w:p w14:paraId="15B4669A" w14:textId="77777777" w:rsidR="00041047" w:rsidRPr="00775EB7" w:rsidRDefault="00041047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27687FC9" w14:textId="0E85E3E2" w:rsidR="00881CBF" w:rsidRDefault="00041047" w:rsidP="00A63242">
            <w:pPr>
              <w:numPr>
                <w:ilvl w:val="0"/>
                <w:numId w:val="2"/>
              </w:numPr>
              <w:ind w:left="306" w:firstLine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Dr.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Herich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György: Nemze</w:t>
            </w:r>
            <w:r w:rsidR="00881CBF">
              <w:rPr>
                <w:rFonts w:ascii="Garamond" w:hAnsi="Garamond"/>
                <w:sz w:val="22"/>
                <w:szCs w:val="22"/>
              </w:rPr>
              <w:t>t</w:t>
            </w:r>
            <w:r>
              <w:rPr>
                <w:rFonts w:ascii="Garamond" w:hAnsi="Garamond"/>
                <w:sz w:val="22"/>
                <w:szCs w:val="22"/>
              </w:rPr>
              <w:t xml:space="preserve">közi adózás,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Penta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Unió Kiadó, Pécs</w:t>
            </w:r>
            <w:r w:rsidR="00881CBF">
              <w:rPr>
                <w:rFonts w:ascii="Garamond" w:hAnsi="Garamond"/>
                <w:sz w:val="22"/>
                <w:szCs w:val="22"/>
              </w:rPr>
              <w:t xml:space="preserve">, </w:t>
            </w:r>
            <w:r>
              <w:rPr>
                <w:rFonts w:ascii="Garamond" w:hAnsi="Garamond"/>
                <w:sz w:val="22"/>
                <w:szCs w:val="22"/>
              </w:rPr>
              <w:t>2025.</w:t>
            </w:r>
          </w:p>
          <w:p w14:paraId="6877BD3D" w14:textId="370BE4B7" w:rsidR="0046120B" w:rsidRPr="00A63242" w:rsidRDefault="00881CBF" w:rsidP="0046120B">
            <w:pPr>
              <w:numPr>
                <w:ilvl w:val="0"/>
                <w:numId w:val="2"/>
              </w:numPr>
              <w:ind w:left="741" w:hanging="425"/>
              <w:rPr>
                <w:rFonts w:ascii="Garamond" w:hAnsi="Garamond"/>
                <w:sz w:val="22"/>
                <w:szCs w:val="22"/>
              </w:rPr>
            </w:pPr>
            <w:r w:rsidRPr="00A63242">
              <w:rPr>
                <w:rFonts w:ascii="Garamond" w:hAnsi="Garamond"/>
                <w:sz w:val="22"/>
                <w:szCs w:val="22"/>
              </w:rPr>
              <w:t xml:space="preserve">Erdős Gabriella,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Őry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Tamás, Váradi Adrienn: Az Európai Unió adójoga,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Wolters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Kluwer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>, 2021</w:t>
            </w:r>
            <w:r w:rsidR="00A63242" w:rsidRPr="00A63242">
              <w:rPr>
                <w:rFonts w:ascii="Garamond" w:hAnsi="Garamond"/>
                <w:sz w:val="22"/>
                <w:szCs w:val="22"/>
              </w:rPr>
              <w:t>.</w:t>
            </w:r>
          </w:p>
          <w:p w14:paraId="61E7EFD5" w14:textId="77777777" w:rsidR="00A63242" w:rsidRDefault="001B062D" w:rsidP="00A63242">
            <w:pPr>
              <w:pStyle w:val="Listaszerbekezds"/>
              <w:numPr>
                <w:ilvl w:val="0"/>
                <w:numId w:val="2"/>
              </w:numPr>
              <w:ind w:left="741" w:hanging="425"/>
              <w:rPr>
                <w:rFonts w:ascii="Garamond" w:hAnsi="Garamond"/>
                <w:sz w:val="22"/>
                <w:szCs w:val="22"/>
              </w:rPr>
            </w:pPr>
            <w:r w:rsidRPr="00FF7964">
              <w:rPr>
                <w:rFonts w:ascii="Garamond" w:hAnsi="Garamond"/>
                <w:sz w:val="22"/>
                <w:szCs w:val="22"/>
              </w:rPr>
              <w:t>Erdős Éva: A beruházásösztönzés adójoga, Miskolci Egyetem, Miskolc, 2012. 1-240.o.</w:t>
            </w:r>
          </w:p>
          <w:p w14:paraId="2DD63A2F" w14:textId="526E05F8" w:rsidR="001B062D" w:rsidRPr="00A63242" w:rsidRDefault="001B062D" w:rsidP="00A63242">
            <w:pPr>
              <w:pStyle w:val="Listaszerbekezds"/>
              <w:numPr>
                <w:ilvl w:val="0"/>
                <w:numId w:val="2"/>
              </w:numPr>
              <w:ind w:left="741" w:hanging="425"/>
              <w:rPr>
                <w:rFonts w:ascii="Garamond" w:hAnsi="Garamond"/>
                <w:sz w:val="22"/>
                <w:szCs w:val="22"/>
              </w:rPr>
            </w:pPr>
            <w:r w:rsidRPr="00A63242">
              <w:rPr>
                <w:rFonts w:ascii="Garamond" w:hAnsi="Garamond"/>
                <w:sz w:val="22"/>
                <w:szCs w:val="22"/>
              </w:rPr>
              <w:t>Erdős Éva: A külföldi befektetések szabályozása az Európai Unióban és a magyar jogban, különös tekintettel az adójog területére</w:t>
            </w:r>
            <w:r w:rsidRPr="00A63242">
              <w:rPr>
                <w:rFonts w:ascii="Garamond" w:hAnsi="Garamond"/>
                <w:sz w:val="22"/>
                <w:szCs w:val="22"/>
              </w:rPr>
              <w:tab/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Sectio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Juridica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Et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Politica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Tomus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XXI/2. Miskolc University Press, Miskolc, 2003. 387-403. o.</w:t>
            </w:r>
          </w:p>
          <w:p w14:paraId="0FEB7CF1" w14:textId="5A44AF41" w:rsidR="001B062D" w:rsidRPr="00775EB7" w:rsidRDefault="001B062D" w:rsidP="00B95B5F">
            <w:pPr>
              <w:ind w:left="284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lastRenderedPageBreak/>
              <w:t>idegen nyelvű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:</w:t>
            </w:r>
          </w:p>
          <w:p w14:paraId="0D999C97" w14:textId="32A34FAB" w:rsidR="00A63242" w:rsidRPr="00A63242" w:rsidRDefault="00A63242" w:rsidP="00A63242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Boria, Pietro: Taxation in European Union,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Kiadás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sorszáma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Softcover reprint of the original 2nd ed. 2017,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Kiadó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: Springer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Megjelenés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dátuma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2018.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július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25.</w:t>
            </w:r>
          </w:p>
          <w:p w14:paraId="04DE1E7F" w14:textId="4DF3DBA8" w:rsidR="00A63242" w:rsidRPr="00A63242" w:rsidRDefault="00A63242" w:rsidP="00A63242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Lang, Michael; Pistone, Pasquale; Schuch, Josef; Introduction to European Tax Law on Direct Taxation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Sorozatcím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Linde Lehrbuch;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Kiadás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sorszáma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6.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Aufl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.,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Kiadó: Linde, Wien,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Megjelenés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dátuma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2020.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szeptember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15.</w:t>
            </w:r>
          </w:p>
          <w:p w14:paraId="713A059F" w14:textId="7B06E3B8" w:rsidR="00A63242" w:rsidRPr="00A63242" w:rsidRDefault="00A63242" w:rsidP="00A63242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Seer, Roman; Hey, Johanna; Englisch, </w:t>
            </w:r>
            <w:proofErr w:type="spellStart"/>
            <w:proofErr w:type="gram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Joachim;Steuerrecht</w:t>
            </w:r>
            <w:proofErr w:type="spellEnd"/>
            <w:proofErr w:type="gramEnd"/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Kiadás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sorszáma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24. neu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bearbeitete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Auflage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2020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Kiadó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: Schmidt (Otto), Köln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Megjelenés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dátuma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2020.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december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10.</w:t>
            </w:r>
          </w:p>
          <w:p w14:paraId="5824F42E" w14:textId="685B31FD" w:rsidR="001B062D" w:rsidRPr="00A63242" w:rsidRDefault="001B062D" w:rsidP="00A63242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A63242">
              <w:rPr>
                <w:rFonts w:ascii="Garamond" w:hAnsi="Garamond"/>
                <w:sz w:val="22"/>
                <w:szCs w:val="22"/>
              </w:rPr>
              <w:t xml:space="preserve">Eva Erdős: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Studies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in European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and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financial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</w:rPr>
              <w:t>law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</w:rPr>
              <w:t>, University of Miskolc, 2010. pp.1- 114.</w:t>
            </w:r>
          </w:p>
          <w:p w14:paraId="1CB85F41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Eva Erdős: Law of Public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Finances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in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EU – The European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Harmonization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,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2011. (MPEAP project no. 510222-LLP-1-RO-ERASMUS-ECDSP,) Editura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„Petru Maior”,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Targu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-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( „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Petru-Maior” </w:t>
            </w:r>
            <w:proofErr w:type="spellStart"/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University,Tirgu</w:t>
            </w:r>
            <w:proofErr w:type="spellEnd"/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),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Romania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>, 2011.ISBN 978-606-581-031-0. pp.1-166.</w:t>
            </w:r>
          </w:p>
          <w:p w14:paraId="682B1295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Eva Erdős: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policy in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European Union.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Harmonisation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of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. In: Public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Policies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of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European Union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Series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: „European Education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for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Public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Servants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>” (EUPA)</w:t>
            </w:r>
          </w:p>
          <w:p w14:paraId="5774D364" w14:textId="7B774502" w:rsidR="001B062D" w:rsidRPr="00775EB7" w:rsidRDefault="001B062D" w:rsidP="00B95B5F">
            <w:pPr>
              <w:ind w:left="72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Editura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„Petru Maior” T</w:t>
            </w:r>
            <w:r w:rsidR="00A6324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argu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–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2008. 39-54.p.</w:t>
            </w:r>
          </w:p>
          <w:p w14:paraId="37DE876F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Eva Erdős: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Some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question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about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harmonisation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of local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in Hungary , ICELM Konferencia 2008. június 4-7.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„ International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Conference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Economics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Law and Management” 3rd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edition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„ Petru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- Maior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„ University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Faculty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of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Economics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Law and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Administrative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Sciences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Tirgu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>, 2008.</w:t>
            </w:r>
          </w:p>
          <w:p w14:paraId="6EFE7A93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Eva Erdős: The local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taxation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in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European Union-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Hungarian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local business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(HIPA)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case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Curentul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Juridic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2/2009., Editura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„Petru Maior”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Tirgu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-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p. ISSN. 1224-9173. 47- 60. P</w:t>
            </w:r>
          </w:p>
          <w:p w14:paraId="33B13DA8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Eva Erdős: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Conflicts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in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International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Law and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Answers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of European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Law,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Curentul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Juridic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 xml:space="preserve">(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Juridical</w:t>
            </w:r>
            <w:proofErr w:type="spellEnd"/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Current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),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year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: XIV, No. 4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( 47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), 4/ 2011. Editura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Petru-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Maior ,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“Petru Maior”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Universitiy’s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Publishing House,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Tirgu-Mures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Romania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ISSN 1224-9173, 2011. pp.159-175. </w:t>
            </w:r>
          </w:p>
          <w:p w14:paraId="3197315F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Éva Erdős: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About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competition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–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its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advantages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and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disadvantages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arguments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in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favour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of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it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and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against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it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Journal of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Agricultural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and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Environmental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Law című folyóirat 2012/13. számában, 29.-42.o. </w:t>
            </w:r>
          </w:p>
          <w:p w14:paraId="104DCD1A" w14:textId="77777777" w:rsidR="001B062D" w:rsidRPr="00775EB7" w:rsidRDefault="001B062D" w:rsidP="00A63242">
            <w:pPr>
              <w:numPr>
                <w:ilvl w:val="0"/>
                <w:numId w:val="1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Éva Erdős: </w:t>
            </w:r>
            <w:r w:rsidRPr="00775EB7">
              <w:rPr>
                <w:rFonts w:ascii="Garamond" w:hAnsi="Garamond"/>
                <w:sz w:val="22"/>
                <w:szCs w:val="22"/>
                <w:lang w:val="en-GB"/>
              </w:rPr>
              <w:t xml:space="preserve">Regulation of tax preferences and state aids in the European tax law – a case study, in: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  <w:lang w:val="en-GB"/>
              </w:rPr>
              <w:t>Curentul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  <w:lang w:val="en-GB"/>
              </w:rPr>
              <w:t xml:space="preserve"> Juridic (Juridical Current) year XVI., No.2. (53), 2013.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Editura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Petru-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Maior ,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(“Petru Maior”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Universitiy’s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Publishing House,)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Tirgu-Mures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>, Romania,2013.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( ISNN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1224-9173), pp. 13-25.</w:t>
            </w:r>
          </w:p>
          <w:p w14:paraId="13C20BC8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B062D" w:rsidRPr="00775EB7" w14:paraId="48119D56" w14:textId="77777777" w:rsidTr="00B95B5F">
        <w:tc>
          <w:tcPr>
            <w:tcW w:w="9056" w:type="dxa"/>
            <w:gridSpan w:val="2"/>
          </w:tcPr>
          <w:p w14:paraId="48F5F023" w14:textId="77777777" w:rsidR="001B062D" w:rsidRPr="00775EB7" w:rsidRDefault="001B062D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lastRenderedPageBreak/>
              <w:t>Ajánlott irodalom:</w:t>
            </w:r>
          </w:p>
          <w:p w14:paraId="0AF5E81E" w14:textId="77777777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</w:t>
            </w:r>
          </w:p>
          <w:p w14:paraId="4443EAC2" w14:textId="7D49AA73" w:rsidR="00881CBF" w:rsidRPr="00881CBF" w:rsidRDefault="00881CBF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Erdős Éva: A külföldi befektetések szabályozása az Európai Unióban és a magyar jogban, különös tekintettel az adójog területére</w:t>
            </w:r>
            <w:r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Sectio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Juridica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Et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Politica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Tomus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XXI/2. Miskolc University Press, Miskolc, 2003. 387-403. o.</w:t>
            </w:r>
          </w:p>
          <w:p w14:paraId="16D66E2A" w14:textId="0DEC7B53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Deák Dániel: Adótervezés a nemzetközi gyakorlatban, Adventura 2000 Kft. 2000.</w:t>
            </w:r>
          </w:p>
          <w:p w14:paraId="3B4CFBA1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Kakuk János: Adóharmonizáció az Európai Unióban, Európa Tükör 37. sz.</w:t>
            </w:r>
          </w:p>
          <w:p w14:paraId="135E1613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Kakuk János: Az Európai Unió harmonizációjának újabb eredményei a forgalmi adózás területén, Pénzügyi Szemle 1994/3. sz. 204-212. o.</w:t>
            </w:r>
          </w:p>
          <w:p w14:paraId="1B818E6D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Model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convention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income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and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on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capital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>, Paris: OECD, 1992.</w:t>
            </w:r>
          </w:p>
          <w:p w14:paraId="5441B5ED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 1976. évi 2. tvr. az Ausztriával kötött egyezmény kettős adóztatás elkerülése tárgyában</w:t>
            </w:r>
          </w:p>
          <w:p w14:paraId="77ED2620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 65/1981. (XII.16.) MT. rend. a Franciaország és Magyarország között a kettős adóztatás elkerülése tárgyában</w:t>
            </w:r>
          </w:p>
          <w:p w14:paraId="5FDCA271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1978. évi 15. tvr. Nagy-Britannia – Magyarország között a kettős adóztatás elkerülése tárgyában</w:t>
            </w:r>
          </w:p>
          <w:p w14:paraId="2E50BCF7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-10. 1979. évi 27. tvr. Németország – Magyarország között a kettős adóztatás tárgyában</w:t>
            </w:r>
          </w:p>
          <w:p w14:paraId="6A6E297E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Deák Dániel: A hatályos magyar adójog a harmonizált európai jog tükrében, Budapest, PSZF. 1997.</w:t>
            </w:r>
          </w:p>
          <w:p w14:paraId="1F3AB7D8" w14:textId="77777777" w:rsidR="001B062D" w:rsidRPr="00775EB7" w:rsidRDefault="001B062D" w:rsidP="00881CBF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Kákosy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Csaba: Társasági adóharmonizáció az Európai Unióban, Budapest, 1997.</w:t>
            </w:r>
          </w:p>
          <w:p w14:paraId="71EEE08B" w14:textId="77777777" w:rsidR="00B95B5F" w:rsidRDefault="00B95B5F" w:rsidP="00DE5211">
            <w:pPr>
              <w:rPr>
                <w:rFonts w:ascii="Garamond" w:hAnsi="Garamond"/>
                <w:sz w:val="22"/>
                <w:szCs w:val="22"/>
              </w:rPr>
            </w:pPr>
          </w:p>
          <w:p w14:paraId="56B56643" w14:textId="1804243C" w:rsidR="001B062D" w:rsidRPr="00775EB7" w:rsidRDefault="001B062D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idegen nyelvű</w:t>
            </w:r>
          </w:p>
          <w:p w14:paraId="73C0D754" w14:textId="4CD9A2FA" w:rsidR="001B062D" w:rsidRPr="00775EB7" w:rsidRDefault="001B062D" w:rsidP="00B95B5F">
            <w:pPr>
              <w:ind w:left="284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1.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Ben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J. M. Terra – Peter J.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Wattel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: European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Law,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Wolters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Kluwer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Law and Business, 201</w:t>
            </w:r>
            <w:r w:rsidR="00B95B5F">
              <w:rPr>
                <w:rFonts w:ascii="Garamond" w:hAnsi="Garamond"/>
                <w:sz w:val="22"/>
                <w:szCs w:val="22"/>
              </w:rPr>
              <w:t>9</w:t>
            </w:r>
            <w:r w:rsidRPr="00775EB7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</w:tbl>
    <w:p w14:paraId="1936A6EF" w14:textId="77777777" w:rsidR="000B7991" w:rsidRDefault="000B7991" w:rsidP="00B95B5F"/>
    <w:sectPr w:rsidR="000B7991" w:rsidSect="00C3598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A31DC"/>
    <w:multiLevelType w:val="hybridMultilevel"/>
    <w:tmpl w:val="83584F10"/>
    <w:lvl w:ilvl="0" w:tplc="CE7053AC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551E"/>
    <w:multiLevelType w:val="hybridMultilevel"/>
    <w:tmpl w:val="1D46665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77303"/>
    <w:multiLevelType w:val="hybridMultilevel"/>
    <w:tmpl w:val="74A2FFB8"/>
    <w:lvl w:ilvl="0" w:tplc="272E5DA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23FC0"/>
    <w:multiLevelType w:val="hybridMultilevel"/>
    <w:tmpl w:val="92BC997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C53C7"/>
    <w:multiLevelType w:val="hybridMultilevel"/>
    <w:tmpl w:val="8AFC75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C6169"/>
    <w:multiLevelType w:val="hybridMultilevel"/>
    <w:tmpl w:val="D6C261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65B1C"/>
    <w:multiLevelType w:val="hybridMultilevel"/>
    <w:tmpl w:val="1B527A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27406"/>
    <w:multiLevelType w:val="hybridMultilevel"/>
    <w:tmpl w:val="B462A514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72575"/>
    <w:multiLevelType w:val="hybridMultilevel"/>
    <w:tmpl w:val="64824D0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4B71973"/>
    <w:multiLevelType w:val="hybridMultilevel"/>
    <w:tmpl w:val="D96A39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A7C4B"/>
    <w:multiLevelType w:val="hybridMultilevel"/>
    <w:tmpl w:val="92BC997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517D1"/>
    <w:multiLevelType w:val="hybridMultilevel"/>
    <w:tmpl w:val="E932B7A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143475">
    <w:abstractNumId w:val="9"/>
  </w:num>
  <w:num w:numId="2" w16cid:durableId="369259384">
    <w:abstractNumId w:val="3"/>
  </w:num>
  <w:num w:numId="3" w16cid:durableId="1883052227">
    <w:abstractNumId w:val="6"/>
  </w:num>
  <w:num w:numId="4" w16cid:durableId="71661830">
    <w:abstractNumId w:val="7"/>
  </w:num>
  <w:num w:numId="5" w16cid:durableId="1699888122">
    <w:abstractNumId w:val="11"/>
  </w:num>
  <w:num w:numId="6" w16cid:durableId="449281349">
    <w:abstractNumId w:val="10"/>
  </w:num>
  <w:num w:numId="7" w16cid:durableId="254098028">
    <w:abstractNumId w:val="0"/>
  </w:num>
  <w:num w:numId="8" w16cid:durableId="1413039771">
    <w:abstractNumId w:val="5"/>
  </w:num>
  <w:num w:numId="9" w16cid:durableId="323707320">
    <w:abstractNumId w:val="2"/>
  </w:num>
  <w:num w:numId="10" w16cid:durableId="812449995">
    <w:abstractNumId w:val="1"/>
  </w:num>
  <w:num w:numId="11" w16cid:durableId="800077242">
    <w:abstractNumId w:val="8"/>
  </w:num>
  <w:num w:numId="12" w16cid:durableId="117797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2D"/>
    <w:rsid w:val="00041047"/>
    <w:rsid w:val="000B7991"/>
    <w:rsid w:val="001A1696"/>
    <w:rsid w:val="001B062D"/>
    <w:rsid w:val="00293F8D"/>
    <w:rsid w:val="0046120B"/>
    <w:rsid w:val="004A0813"/>
    <w:rsid w:val="00544094"/>
    <w:rsid w:val="00622808"/>
    <w:rsid w:val="00881CBF"/>
    <w:rsid w:val="00A24FA0"/>
    <w:rsid w:val="00A63242"/>
    <w:rsid w:val="00B95B5F"/>
    <w:rsid w:val="00C3598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27CB8"/>
  <w14:defaultImageDpi w14:val="32767"/>
  <w15:chartTrackingRefBased/>
  <w15:docId w15:val="{BFFB20D1-BD1B-BC44-A218-547AF1FF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1B062D"/>
    <w:rPr>
      <w:rFonts w:eastAsia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81CB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rsid w:val="00881CBF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F7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829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Dr. Varga Zoltán</cp:lastModifiedBy>
  <cp:revision>2</cp:revision>
  <dcterms:created xsi:type="dcterms:W3CDTF">2026-02-01T20:46:00Z</dcterms:created>
  <dcterms:modified xsi:type="dcterms:W3CDTF">2026-02-01T20:46:00Z</dcterms:modified>
</cp:coreProperties>
</file>